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349" w:rsidRDefault="001E3CB5">
      <w:pPr>
        <w:pStyle w:val="Textbody"/>
        <w:spacing w:after="0"/>
        <w:rPr>
          <w:b/>
          <w:i/>
          <w:sz w:val="28"/>
        </w:rPr>
      </w:pPr>
      <w:r>
        <w:rPr>
          <w:b/>
          <w:i/>
          <w:sz w:val="28"/>
        </w:rPr>
        <w:t>Data di svolgimento della rilevazione: 26/01/2016</w:t>
      </w:r>
    </w:p>
    <w:p w:rsidR="00EF5349" w:rsidRDefault="00EF5349">
      <w:pPr>
        <w:pStyle w:val="Textbody"/>
        <w:spacing w:after="0"/>
      </w:pPr>
    </w:p>
    <w:p w:rsidR="00EF5349" w:rsidRDefault="001E3CB5">
      <w:pPr>
        <w:pStyle w:val="Textbody"/>
        <w:spacing w:after="0"/>
        <w:rPr>
          <w:b/>
          <w:i/>
          <w:sz w:val="28"/>
        </w:rPr>
      </w:pPr>
      <w:r>
        <w:rPr>
          <w:b/>
          <w:i/>
          <w:sz w:val="28"/>
        </w:rPr>
        <w:t>Estensione della rilevazione: non esistono uffici periferici</w:t>
      </w:r>
    </w:p>
    <w:p w:rsidR="00EF5349" w:rsidRDefault="00EF5349">
      <w:pPr>
        <w:pStyle w:val="Textbody"/>
        <w:spacing w:after="0"/>
      </w:pPr>
    </w:p>
    <w:p w:rsidR="00EF5349" w:rsidRDefault="001E3CB5">
      <w:pPr>
        <w:pStyle w:val="Textbody"/>
      </w:pPr>
      <w:r>
        <w:rPr>
          <w:b/>
          <w:i/>
          <w:sz w:val="28"/>
        </w:rPr>
        <w:t>Procedure e modalità seguite per la rilevazione</w:t>
      </w:r>
    </w:p>
    <w:p w:rsidR="00EF5349" w:rsidRDefault="001E3CB5">
      <w:pPr>
        <w:pStyle w:val="Textbody"/>
        <w:jc w:val="both"/>
      </w:pPr>
      <w:r>
        <w:t>Preso atto del comunicato del 22 dicembre 2015 con cui l’ANAC ha prorogato al 31 gennaio 2016 il termine ultimo per la predisposizione e la pubblicazione delle attestazioni degli Organismi Indipendenti di Valutazione (OIV) di cui all’art. 44 del d.lgs. 33/2013 e ha rinviato a successiva delibera la precisazione degli obblighi di pubblicazione oggetto di attestazione, l’OIVP dell’Istituto ritiene di esaminare il lavoro svolto dal Responsabile della Trasparenza del CRO sulla base della delibera ANAC 148/2014 non essendo allo stato disponibile alcuna ulteriore indicazione.</w:t>
      </w:r>
    </w:p>
    <w:p w:rsidR="00EF5349" w:rsidRDefault="001E3CB5">
      <w:pPr>
        <w:pStyle w:val="Textbody"/>
        <w:jc w:val="both"/>
      </w:pPr>
      <w:r>
        <w:t>Pertanto, verificata l’impossibilità per i componenti di posticipare ulteriormente la seduta comune  entro il termine del 31 gennaio, l’Organismo procede a verificare, con la griglia definita dalla succitata delibera, l’avvenuta pubblicazione sul sito istituzionale dei documenti contemplati dalle previsioni normative in materia di trasparenza.</w:t>
      </w:r>
    </w:p>
    <w:p w:rsidR="00EF5349" w:rsidRDefault="001E3CB5">
      <w:pPr>
        <w:pStyle w:val="Textbody"/>
        <w:jc w:val="both"/>
      </w:pPr>
      <w:r>
        <w:t>L’Organismo constata in primo luogo che il sito aziendale è stato radicalmente innovato rispetto alla precedente versione con positivo impatto sulle ricerche inerenti la trasparenza.</w:t>
      </w:r>
    </w:p>
    <w:p w:rsidR="00EF5349" w:rsidRDefault="001E3CB5">
      <w:pPr>
        <w:pStyle w:val="Textbody"/>
        <w:jc w:val="both"/>
      </w:pPr>
      <w:r>
        <w:t>L’OIVP procede quindi alla compilazione della tabella di cui alla delibera ANAC citata e alla verifica sul sito aziendale della pubblicazione e della qualità dei dati previsti dalla normativa accedendo tramite un personal computer collegato alla rete esterna. Contestualmente vengono registrate le schermate oggetto di analisi, inserite in un documento che si allega.</w:t>
      </w:r>
    </w:p>
    <w:p w:rsidR="00EF5349" w:rsidRDefault="001E3CB5">
      <w:pPr>
        <w:pStyle w:val="Textbody"/>
        <w:jc w:val="both"/>
      </w:pPr>
      <w:r>
        <w:t>In primo luogo l’OIVP ribadisce che l’ambito di applicazione soggettivo tipo A è applicabile solo in parte, considerata la natura dell’ente giuridico IRCCS CRO. Sempre per tale motivo, il criterio di completezza rispetto ai vari uffici verrà considerato non applicabile. Allorché la valutazione riguardi una pluralità di soggetti, ci si riserva di esplicitare nel campo note la completezza dei dati riportati e l’eventuale criterio di campionamento utilizzato.</w:t>
      </w:r>
    </w:p>
    <w:p w:rsidR="00EF5349" w:rsidRDefault="001E3CB5">
      <w:pPr>
        <w:pStyle w:val="Textbody"/>
        <w:jc w:val="both"/>
      </w:pPr>
      <w:r>
        <w:t>Si precisa che nella categoria “dirigenti (dirigenti non generali)” sono stati considerati i dirigenti dell’Istituto non titolari di incarico gestionale.</w:t>
      </w:r>
    </w:p>
    <w:p w:rsidR="00EF5349" w:rsidRDefault="001E3CB5">
      <w:pPr>
        <w:pStyle w:val="Textbody"/>
        <w:jc w:val="both"/>
      </w:pPr>
      <w:r>
        <w:t>Rispetto agli incarichi di vertice si evidenzia che per i componenti del CIV, così come per le altre figure di individuazione esterna ma di nomina con atto proprio del direttore generale, l’acquisizione delle dichiarazioni e la loro pubblicazione nel sito spettano al CRO.</w:t>
      </w:r>
    </w:p>
    <w:p w:rsidR="00EF5349" w:rsidRDefault="001E3CB5">
      <w:pPr>
        <w:pStyle w:val="Textbody"/>
        <w:jc w:val="both"/>
      </w:pPr>
      <w:r>
        <w:t xml:space="preserve">I </w:t>
      </w:r>
      <w:r>
        <w:rPr>
          <w:i/>
        </w:rPr>
        <w:t>curricula</w:t>
      </w:r>
      <w:r>
        <w:t xml:space="preserve"> e i compensi dei direttori di struttura complessa sono stati analizzati su un campione superiore a tre nominativi.</w:t>
      </w:r>
    </w:p>
    <w:p w:rsidR="00EF5349" w:rsidRDefault="001E3CB5">
      <w:pPr>
        <w:pStyle w:val="Textbody"/>
        <w:jc w:val="both"/>
      </w:pPr>
      <w:r>
        <w:t xml:space="preserve">In proposito, si suggerisce nuovamente di dare evidenza della data di aggiornamento dei </w:t>
      </w:r>
      <w:r>
        <w:rPr>
          <w:i/>
        </w:rPr>
        <w:t>curricula</w:t>
      </w:r>
      <w:r>
        <w:t xml:space="preserve"> e di acquisirli tutti in formato europeo aperto.</w:t>
      </w:r>
    </w:p>
    <w:p w:rsidR="00EF5349" w:rsidRDefault="001E3CB5">
      <w:pPr>
        <w:pStyle w:val="Textbody"/>
        <w:jc w:val="both"/>
      </w:pPr>
      <w:r>
        <w:t xml:space="preserve">Nella verifica della costruzione del nuovo sito, per quanto di interesse, vengono rilevati degli errori di puntamento verso alcuni </w:t>
      </w:r>
      <w:r>
        <w:rPr>
          <w:i/>
        </w:rPr>
        <w:t>curricula</w:t>
      </w:r>
      <w:r>
        <w:t>.</w:t>
      </w:r>
    </w:p>
    <w:p w:rsidR="00EF5349" w:rsidRDefault="001E3CB5">
      <w:pPr>
        <w:pStyle w:val="Textbody"/>
        <w:jc w:val="both"/>
      </w:pPr>
      <w:r>
        <w:t>Rispetto alle società partecipate, sia la rappresentazione grafica che la tabella espongono la fotografia al 31/12/2014, non essendo ancora disponibili i dati di chiusura del bilancio 2015.</w:t>
      </w:r>
    </w:p>
    <w:p w:rsidR="00EF5349" w:rsidRDefault="001E3CB5">
      <w:pPr>
        <w:pStyle w:val="Textbody"/>
        <w:jc w:val="both"/>
      </w:pPr>
      <w:r>
        <w:t xml:space="preserve">In merito alla sezione Bandi di gara e controlli sono stati verificati i contenuti d’obbligo definiti dall’ANAC. Nell’esaminare a campione le procedure di gara rintracciabili sulla sezione Amministrazione Trasparente, si evidenzia che la maggior parte della tipologia dei bandi tiene conto </w:t>
      </w:r>
      <w:r>
        <w:lastRenderedPageBreak/>
        <w:t>dell’assetto organizzativo degli acquisti nel contesto regionale, in cui è prevista una centrale di acquisto. Ne consegue, per l’Istituto, la semplificazione delle procedure con conseguente rimodulazione degli obblighi di pubblicazione. In altri campioni di procedura esaminati è stato rilevato il ricorso al mercato elettronico. Si evidenzia inoltre che il dato relativo agli importi liquidati è attualmente oggetto di pubblicazione con cadenza annuale, nel rispetto dei termini e modalità di pubblicazione previsti dall’ANAC. È tuttavia prevista per l’anno 2016 l’introduzione di una procedura automatizzata che consentirà l’elaborazione dei dati con periodicità infra-annuale.</w:t>
      </w:r>
    </w:p>
    <w:p w:rsidR="00EF5349" w:rsidRDefault="001E3CB5">
      <w:pPr>
        <w:pStyle w:val="Textbody"/>
        <w:spacing w:after="0"/>
        <w:jc w:val="both"/>
      </w:pPr>
      <w:r>
        <w:t>Con riferimento alla sezione Opere pubbliche, non direttamente riguardante l’Istituto secondo quanto indicato nella griglia di rilevazione Allegato 1, si constata la pubblicazione del Piano degli investimenti.</w:t>
      </w:r>
    </w:p>
    <w:p w:rsidR="00EF5349" w:rsidRDefault="00EF5349">
      <w:pPr>
        <w:pStyle w:val="Textbody"/>
        <w:spacing w:after="0"/>
        <w:rPr>
          <w:b/>
          <w:i/>
          <w:sz w:val="28"/>
        </w:rPr>
      </w:pPr>
    </w:p>
    <w:p w:rsidR="00EF5349" w:rsidRDefault="001E3CB5">
      <w:pPr>
        <w:pStyle w:val="Textbody"/>
        <w:spacing w:line="276" w:lineRule="auto"/>
      </w:pPr>
      <w:r>
        <w:rPr>
          <w:b/>
          <w:i/>
          <w:sz w:val="28"/>
        </w:rPr>
        <w:t>Eventuale documentazione da allegare</w:t>
      </w:r>
    </w:p>
    <w:p w:rsidR="00EF5349" w:rsidRDefault="001E3CB5">
      <w:pPr>
        <w:pStyle w:val="Textbody"/>
        <w:spacing w:after="0" w:line="276" w:lineRule="auto"/>
      </w:pPr>
      <w:r>
        <w:t>Si allega un file che riporta le schermate oggetto della analisi odierna.</w:t>
      </w:r>
    </w:p>
    <w:p w:rsidR="00EF5349" w:rsidRDefault="00EF5349">
      <w:pPr>
        <w:pStyle w:val="Textbody"/>
        <w:spacing w:after="0" w:line="276" w:lineRule="auto"/>
      </w:pPr>
    </w:p>
    <w:p w:rsidR="00EF5349" w:rsidRDefault="001E3CB5">
      <w:pPr>
        <w:pStyle w:val="Standard"/>
        <w:spacing w:line="276" w:lineRule="auto"/>
      </w:pPr>
      <w:r>
        <w:t>Aviano, 26 gennaio 2016</w:t>
      </w:r>
    </w:p>
    <w:p w:rsidR="00EF5349" w:rsidRDefault="00EF5349">
      <w:pPr>
        <w:pStyle w:val="Standard"/>
        <w:spacing w:line="276" w:lineRule="auto"/>
      </w:pPr>
    </w:p>
    <w:p w:rsidR="00EF5349" w:rsidRDefault="001E3CB5">
      <w:pPr>
        <w:pStyle w:val="Standard"/>
        <w:ind w:left="5910"/>
        <w:jc w:val="center"/>
      </w:pPr>
      <w:r>
        <w:t>il Presidente</w:t>
      </w:r>
    </w:p>
    <w:p w:rsidR="00EF5349" w:rsidRDefault="001E3CB5">
      <w:pPr>
        <w:pStyle w:val="Standard"/>
        <w:ind w:left="5910"/>
        <w:jc w:val="center"/>
      </w:pPr>
      <w:r>
        <w:t>(</w:t>
      </w:r>
      <w:r>
        <w:rPr>
          <w:b/>
        </w:rPr>
        <w:t>Giampaolo Canciani</w:t>
      </w:r>
      <w:r>
        <w:t>)</w:t>
      </w:r>
    </w:p>
    <w:p w:rsidR="00EF5349" w:rsidRDefault="00EF5349">
      <w:pPr>
        <w:pStyle w:val="Standard"/>
        <w:pBdr>
          <w:top w:val="none" w:sz="0" w:space="2" w:color="auto"/>
          <w:left w:val="none" w:sz="0" w:space="2" w:color="auto"/>
          <w:bottom w:val="none" w:sz="0" w:space="2" w:color="auto"/>
          <w:right w:val="none" w:sz="0" w:space="2" w:color="auto"/>
        </w:pBdr>
        <w:ind w:left="5910"/>
        <w:jc w:val="center"/>
      </w:pPr>
    </w:p>
    <w:p w:rsidR="00EF5349" w:rsidRDefault="00EF5349">
      <w:pPr>
        <w:pStyle w:val="Textbody"/>
        <w:spacing w:after="0" w:line="276" w:lineRule="auto"/>
      </w:pPr>
    </w:p>
    <w:p w:rsidR="00EF5349" w:rsidRPr="0086551F" w:rsidRDefault="001E3CB5">
      <w:pPr>
        <w:pStyle w:val="Textbody"/>
        <w:spacing w:after="0"/>
        <w:rPr>
          <w:b/>
          <w:i/>
          <w:sz w:val="28"/>
        </w:rPr>
      </w:pPr>
      <w:r w:rsidRPr="0086551F">
        <w:rPr>
          <w:b/>
          <w:i/>
          <w:sz w:val="28"/>
        </w:rPr>
        <w:t>Data di conclusione della rilevazione:</w:t>
      </w:r>
      <w:r w:rsidR="0086551F">
        <w:rPr>
          <w:b/>
          <w:i/>
          <w:sz w:val="28"/>
        </w:rPr>
        <w:t xml:space="preserve"> 2</w:t>
      </w:r>
      <w:r w:rsidR="00DF2C10">
        <w:rPr>
          <w:b/>
          <w:i/>
          <w:sz w:val="28"/>
        </w:rPr>
        <w:t>9</w:t>
      </w:r>
      <w:r w:rsidR="0086551F">
        <w:rPr>
          <w:b/>
          <w:i/>
          <w:sz w:val="28"/>
        </w:rPr>
        <w:t>/02/2016</w:t>
      </w:r>
    </w:p>
    <w:p w:rsidR="00EF5349" w:rsidRPr="0086551F" w:rsidRDefault="00EF5349">
      <w:pPr>
        <w:pStyle w:val="Textbody"/>
        <w:spacing w:after="0"/>
      </w:pPr>
    </w:p>
    <w:p w:rsidR="00EF5349" w:rsidRPr="0086551F" w:rsidRDefault="001E3CB5">
      <w:pPr>
        <w:pStyle w:val="Textbody"/>
        <w:spacing w:after="0"/>
        <w:rPr>
          <w:b/>
          <w:i/>
          <w:sz w:val="28"/>
        </w:rPr>
      </w:pPr>
      <w:r w:rsidRPr="0086551F">
        <w:rPr>
          <w:b/>
          <w:i/>
          <w:sz w:val="28"/>
        </w:rPr>
        <w:t>Estensione della rilevazione: non esistono uffici periferici</w:t>
      </w:r>
    </w:p>
    <w:p w:rsidR="00EF5349" w:rsidRPr="0086551F" w:rsidRDefault="00EF5349">
      <w:pPr>
        <w:pStyle w:val="Textbody"/>
        <w:spacing w:after="0"/>
      </w:pPr>
    </w:p>
    <w:p w:rsidR="00EF5349" w:rsidRPr="0086551F" w:rsidRDefault="001E3CB5">
      <w:pPr>
        <w:pStyle w:val="Textbody"/>
      </w:pPr>
      <w:r w:rsidRPr="0086551F">
        <w:rPr>
          <w:b/>
          <w:i/>
          <w:sz w:val="28"/>
        </w:rPr>
        <w:t>Procedure e modalità seguite per la rilevazione</w:t>
      </w:r>
    </w:p>
    <w:p w:rsidR="00EF5349" w:rsidRPr="0086551F" w:rsidRDefault="001E3CB5">
      <w:pPr>
        <w:pStyle w:val="Textbody"/>
        <w:jc w:val="both"/>
      </w:pPr>
      <w:r w:rsidRPr="0086551F">
        <w:t>In seguito alla pubblicazione della deliberazione n. 43 del 20 gennaio 2016, intervenuta con comunicato del 26 gennaio 2016, l’OIVP ha proceduto all’integrazione dell’esame delle pubblicazioni dell’Istituto secondo le indicazioni ivi contenute.</w:t>
      </w:r>
    </w:p>
    <w:p w:rsidR="00EF5349" w:rsidRPr="0086551F" w:rsidRDefault="001E3CB5">
      <w:pPr>
        <w:pStyle w:val="Textbody"/>
        <w:jc w:val="both"/>
      </w:pPr>
      <w:r w:rsidRPr="0086551F">
        <w:t>In particolare, l’Organismo ha verificato gli elementi richiesti sulla base dei collegamenti al sito istituzionale messi a disposizione dal Responsabile della trasparenza con comunicazione inviata mediante posta elettronica il 29 gennaio 2016, che documentano in tale data la pubblicazione degli elementi contemplati dalle previsioni normative in materia di trasparenza e oggetto della rilevazione richiesta per l’anno corrente.</w:t>
      </w:r>
    </w:p>
    <w:p w:rsidR="00EF5349" w:rsidRDefault="001E3CB5">
      <w:pPr>
        <w:pStyle w:val="Textbody"/>
        <w:jc w:val="both"/>
      </w:pPr>
      <w:r w:rsidRPr="0086551F">
        <w:t>L’Organismo ha quindi provveduto alla compilazione della tabella di cui alla succitata delibera dopo aver compiuto a distanza e condiviso la verifica della pubblicazione sul sito aziendale e della qualità dei dati previsti dalla normativa, mediante aggiornamento e integrazione del precedente controllo.</w:t>
      </w:r>
    </w:p>
    <w:p w:rsidR="0086551F" w:rsidRPr="0086551F" w:rsidRDefault="0086551F">
      <w:pPr>
        <w:pStyle w:val="Textbody"/>
        <w:jc w:val="both"/>
      </w:pPr>
      <w:r>
        <w:t>La tabella messa a disposizione dal Responsabile della trasparenza è conservata agli atti.</w:t>
      </w:r>
    </w:p>
    <w:p w:rsidR="00EF5349" w:rsidRDefault="00EF5349">
      <w:pPr>
        <w:pStyle w:val="Textbody"/>
        <w:spacing w:after="0" w:line="276" w:lineRule="auto"/>
      </w:pPr>
    </w:p>
    <w:p w:rsidR="0086551F" w:rsidRPr="0086551F" w:rsidRDefault="0086551F">
      <w:pPr>
        <w:pStyle w:val="Textbody"/>
        <w:spacing w:after="0" w:line="276" w:lineRule="auto"/>
      </w:pPr>
      <w:r>
        <w:t>Aviano 2</w:t>
      </w:r>
      <w:r w:rsidR="008C39BA">
        <w:t>9</w:t>
      </w:r>
      <w:r>
        <w:t xml:space="preserve"> febbraio 2016</w:t>
      </w:r>
    </w:p>
    <w:p w:rsidR="00EF5349" w:rsidRDefault="00EF5349">
      <w:pPr>
        <w:pStyle w:val="Standard"/>
        <w:spacing w:line="276" w:lineRule="auto"/>
      </w:pPr>
    </w:p>
    <w:p w:rsidR="00EF5349" w:rsidRDefault="001E3CB5">
      <w:pPr>
        <w:pStyle w:val="Standard"/>
        <w:ind w:left="5910"/>
        <w:jc w:val="center"/>
      </w:pPr>
      <w:r>
        <w:t>il Presidente</w:t>
      </w:r>
      <w:bookmarkStart w:id="0" w:name="_GoBack"/>
      <w:bookmarkEnd w:id="0"/>
    </w:p>
    <w:p w:rsidR="00EF5349" w:rsidRDefault="001E3CB5" w:rsidP="001F5B92">
      <w:pPr>
        <w:pStyle w:val="Standard"/>
        <w:ind w:left="5910"/>
        <w:jc w:val="center"/>
      </w:pPr>
      <w:r>
        <w:t>(</w:t>
      </w:r>
      <w:r>
        <w:rPr>
          <w:b/>
        </w:rPr>
        <w:t>Giampaolo Canciani</w:t>
      </w:r>
      <w:r>
        <w:t>)</w:t>
      </w:r>
    </w:p>
    <w:sectPr w:rsidR="00EF5349" w:rsidSect="00FD5402">
      <w:headerReference w:type="default" r:id="rId6"/>
      <w:pgSz w:w="11906" w:h="16838"/>
      <w:pgMar w:top="1134" w:right="1134" w:bottom="720"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23D" w:rsidRDefault="0048223D">
      <w:r>
        <w:separator/>
      </w:r>
    </w:p>
  </w:endnote>
  <w:endnote w:type="continuationSeparator" w:id="0">
    <w:p w:rsidR="0048223D" w:rsidRDefault="004822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23D" w:rsidRDefault="0048223D">
      <w:r>
        <w:rPr>
          <w:color w:val="000000"/>
        </w:rPr>
        <w:separator/>
      </w:r>
    </w:p>
  </w:footnote>
  <w:footnote w:type="continuationSeparator" w:id="0">
    <w:p w:rsidR="0048223D" w:rsidRDefault="004822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F83" w:rsidRDefault="001E3CB5">
    <w:pPr>
      <w:pStyle w:val="Heading"/>
      <w:spacing w:before="0" w:after="0"/>
      <w:jc w:val="center"/>
    </w:pPr>
    <w:r>
      <w:rPr>
        <w:b/>
        <w:bCs/>
        <w:color w:val="333399"/>
        <w:sz w:val="35"/>
        <w:szCs w:val="35"/>
      </w:rPr>
      <w:t>CENTRO DI RIFERIMENTO ONCOLOGICO</w:t>
    </w:r>
  </w:p>
  <w:p w:rsidR="007B4F83" w:rsidRDefault="001E3CB5">
    <w:pPr>
      <w:pStyle w:val="Heading"/>
      <w:spacing w:before="0" w:after="0"/>
      <w:jc w:val="center"/>
    </w:pPr>
    <w:r>
      <w:rPr>
        <w:b/>
        <w:color w:val="333399"/>
        <w:sz w:val="23"/>
      </w:rPr>
      <w:t>ISTITUTO NAZIONALE TUMORI - AVIANO</w:t>
    </w:r>
  </w:p>
  <w:p w:rsidR="007B4F83" w:rsidRDefault="001E3CB5">
    <w:pPr>
      <w:pStyle w:val="Heading"/>
      <w:spacing w:before="0" w:after="0"/>
      <w:jc w:val="center"/>
    </w:pPr>
    <w:r>
      <w:rPr>
        <w:color w:val="333399"/>
        <w:spacing w:val="-2"/>
        <w:sz w:val="15"/>
      </w:rPr>
      <w:t>ISTITUTO DI RICOVERO E CURA A CARATTERE SCIENTIFICO DI DIRITTO PUBBLICO (D.I. 31/07/90 e 18/01/2005)</w:t>
    </w:r>
  </w:p>
  <w:p w:rsidR="007B4F83" w:rsidRDefault="001E3CB5">
    <w:pPr>
      <w:pStyle w:val="Heading"/>
      <w:spacing w:before="0" w:after="0"/>
      <w:jc w:val="center"/>
    </w:pPr>
    <w:r>
      <w:rPr>
        <w:b/>
        <w:color w:val="333399"/>
        <w:sz w:val="16"/>
      </w:rPr>
      <w:t>Via Franco Gallini, 2  -  33081 AVIANO-PN  -  Italy  -  C.F. - P.I. 00623340932  -  Tel. 39-0434-659111  -  Fax 39-0434-652182</w:t>
    </w:r>
  </w:p>
  <w:p w:rsidR="007B4F83" w:rsidRDefault="001E3CB5">
    <w:pPr>
      <w:pStyle w:val="Standard"/>
      <w:spacing w:before="113"/>
      <w:jc w:val="center"/>
    </w:pPr>
    <w:r>
      <w:rPr>
        <w:b/>
        <w:smallCaps/>
        <w:spacing w:val="-6"/>
        <w:sz w:val="28"/>
      </w:rPr>
      <w:t>Organismo Indipendente di Valutazione della Performance</w:t>
    </w:r>
  </w:p>
  <w:p w:rsidR="007B4F83" w:rsidRDefault="00411D24">
    <w:pPr>
      <w:pStyle w:val="Standard"/>
      <w:spacing w:after="240"/>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283"/>
  <w:characterSpacingControl w:val="doNotCompress"/>
  <w:footnotePr>
    <w:footnote w:id="-1"/>
    <w:footnote w:id="0"/>
  </w:footnotePr>
  <w:endnotePr>
    <w:endnote w:id="-1"/>
    <w:endnote w:id="0"/>
  </w:endnotePr>
  <w:compat>
    <w:useFELayout/>
  </w:compat>
  <w:rsids>
    <w:rsidRoot w:val="00EF5349"/>
    <w:rsid w:val="00142AD4"/>
    <w:rsid w:val="001E3CB5"/>
    <w:rsid w:val="001F5B92"/>
    <w:rsid w:val="00260006"/>
    <w:rsid w:val="00411D24"/>
    <w:rsid w:val="0048223D"/>
    <w:rsid w:val="0086551F"/>
    <w:rsid w:val="008C39BA"/>
    <w:rsid w:val="00CC5C5E"/>
    <w:rsid w:val="00DF2C10"/>
    <w:rsid w:val="00EF5349"/>
    <w:rsid w:val="00FD540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FD5402"/>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FD5402"/>
    <w:pPr>
      <w:suppressAutoHyphens/>
    </w:pPr>
  </w:style>
  <w:style w:type="paragraph" w:customStyle="1" w:styleId="Heading">
    <w:name w:val="Heading"/>
    <w:basedOn w:val="Standard"/>
    <w:next w:val="Textbody"/>
    <w:rsid w:val="00FD5402"/>
    <w:pPr>
      <w:keepNext/>
      <w:spacing w:before="240" w:after="120"/>
    </w:pPr>
    <w:rPr>
      <w:rFonts w:ascii="Arial" w:eastAsia="Microsoft YaHei" w:hAnsi="Arial"/>
      <w:sz w:val="28"/>
      <w:szCs w:val="28"/>
    </w:rPr>
  </w:style>
  <w:style w:type="paragraph" w:customStyle="1" w:styleId="Textbody">
    <w:name w:val="Text body"/>
    <w:basedOn w:val="Standard"/>
    <w:rsid w:val="00FD5402"/>
    <w:pPr>
      <w:spacing w:after="120"/>
    </w:pPr>
  </w:style>
  <w:style w:type="paragraph" w:styleId="Elenco">
    <w:name w:val="List"/>
    <w:basedOn w:val="Textbody"/>
    <w:rsid w:val="00FD5402"/>
  </w:style>
  <w:style w:type="paragraph" w:styleId="Didascalia">
    <w:name w:val="caption"/>
    <w:basedOn w:val="Standard"/>
    <w:rsid w:val="00FD5402"/>
    <w:pPr>
      <w:suppressLineNumbers/>
      <w:spacing w:before="120" w:after="120"/>
    </w:pPr>
    <w:rPr>
      <w:i/>
      <w:iCs/>
    </w:rPr>
  </w:style>
  <w:style w:type="paragraph" w:customStyle="1" w:styleId="Index">
    <w:name w:val="Index"/>
    <w:basedOn w:val="Standard"/>
    <w:rsid w:val="00FD5402"/>
    <w:pPr>
      <w:suppressLineNumbers/>
    </w:pPr>
  </w:style>
  <w:style w:type="paragraph" w:styleId="Intestazione">
    <w:name w:val="header"/>
    <w:basedOn w:val="Normale"/>
    <w:rsid w:val="00FD5402"/>
    <w:pPr>
      <w:tabs>
        <w:tab w:val="center" w:pos="4819"/>
        <w:tab w:val="right" w:pos="9638"/>
      </w:tabs>
    </w:pPr>
    <w:rPr>
      <w:szCs w:val="21"/>
    </w:rPr>
  </w:style>
  <w:style w:type="paragraph" w:styleId="Pidipagina">
    <w:name w:val="footer"/>
    <w:basedOn w:val="Normale"/>
    <w:rsid w:val="00FD5402"/>
    <w:pPr>
      <w:tabs>
        <w:tab w:val="center" w:pos="4819"/>
        <w:tab w:val="right" w:pos="9638"/>
      </w:tabs>
    </w:pPr>
    <w:rPr>
      <w:szCs w:val="21"/>
    </w:rPr>
  </w:style>
  <w:style w:type="character" w:customStyle="1" w:styleId="IntestazioneCarattere">
    <w:name w:val="Intestazione Carattere"/>
    <w:basedOn w:val="Carpredefinitoparagrafo"/>
    <w:rsid w:val="00FD5402"/>
    <w:rPr>
      <w:szCs w:val="21"/>
    </w:rPr>
  </w:style>
  <w:style w:type="character" w:customStyle="1" w:styleId="PidipaginaCarattere">
    <w:name w:val="Piè di pagina Carattere"/>
    <w:basedOn w:val="Carpredefinitoparagrafo"/>
    <w:rsid w:val="00FD5402"/>
    <w:rPr>
      <w:szCs w:val="21"/>
    </w:rPr>
  </w:style>
  <w:style w:type="paragraph" w:styleId="Testofumetto">
    <w:name w:val="Balloon Text"/>
    <w:basedOn w:val="Normale"/>
    <w:link w:val="TestofumettoCarattere"/>
    <w:uiPriority w:val="99"/>
    <w:semiHidden/>
    <w:unhideWhenUsed/>
    <w:rsid w:val="00260006"/>
    <w:rPr>
      <w:rFonts w:ascii="Tahoma" w:hAnsi="Tahoma"/>
      <w:sz w:val="16"/>
      <w:szCs w:val="14"/>
    </w:rPr>
  </w:style>
  <w:style w:type="character" w:customStyle="1" w:styleId="TestofumettoCarattere">
    <w:name w:val="Testo fumetto Carattere"/>
    <w:basedOn w:val="Carpredefinitoparagrafo"/>
    <w:link w:val="Testofumetto"/>
    <w:uiPriority w:val="99"/>
    <w:semiHidden/>
    <w:rsid w:val="00260006"/>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Intestazione">
    <w:name w:val="header"/>
    <w:basedOn w:val="Normale"/>
    <w:pPr>
      <w:tabs>
        <w:tab w:val="center" w:pos="4819"/>
        <w:tab w:val="right" w:pos="9638"/>
      </w:tabs>
    </w:pPr>
    <w:rPr>
      <w:szCs w:val="21"/>
    </w:rPr>
  </w:style>
  <w:style w:type="paragraph" w:styleId="Pidipagina">
    <w:name w:val="footer"/>
    <w:basedOn w:val="Normale"/>
    <w:pPr>
      <w:tabs>
        <w:tab w:val="center" w:pos="4819"/>
        <w:tab w:val="right" w:pos="9638"/>
      </w:tabs>
    </w:pPr>
    <w:rPr>
      <w:szCs w:val="21"/>
    </w:rPr>
  </w:style>
  <w:style w:type="character" w:customStyle="1" w:styleId="IntestazioneCarattere">
    <w:name w:val="Intestazione Carattere"/>
    <w:basedOn w:val="Carpredefinitoparagrafo"/>
    <w:rPr>
      <w:szCs w:val="21"/>
    </w:rPr>
  </w:style>
  <w:style w:type="character" w:customStyle="1" w:styleId="PidipaginaCarattere">
    <w:name w:val="Piè di pagina Carattere"/>
    <w:basedOn w:val="Carpredefinitoparagrafo"/>
    <w:rPr>
      <w:szCs w:val="21"/>
    </w:rPr>
  </w:style>
  <w:style w:type="paragraph" w:styleId="Testofumetto">
    <w:name w:val="Balloon Text"/>
    <w:basedOn w:val="Normale"/>
    <w:link w:val="TestofumettoCarattere"/>
    <w:uiPriority w:val="99"/>
    <w:semiHidden/>
    <w:unhideWhenUsed/>
    <w:rsid w:val="00260006"/>
    <w:rPr>
      <w:rFonts w:ascii="Tahoma" w:hAnsi="Tahoma"/>
      <w:sz w:val="16"/>
      <w:szCs w:val="14"/>
    </w:rPr>
  </w:style>
  <w:style w:type="character" w:customStyle="1" w:styleId="TestofumettoCarattere">
    <w:name w:val="Testo fumetto Carattere"/>
    <w:basedOn w:val="Carpredefinitoparagrafo"/>
    <w:link w:val="Testofumetto"/>
    <w:uiPriority w:val="99"/>
    <w:semiHidden/>
    <w:rsid w:val="00260006"/>
    <w:rPr>
      <w:rFonts w:ascii="Tahoma" w:hAnsi="Tahoma"/>
      <w:sz w:val="16"/>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861</Words>
  <Characters>4914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Giuliana Zanier</dc:creator>
  <cp:lastModifiedBy>informatico</cp:lastModifiedBy>
  <cp:revision>5</cp:revision>
  <cp:lastPrinted>2015-01-26T16:35:00Z</cp:lastPrinted>
  <dcterms:created xsi:type="dcterms:W3CDTF">2016-02-28T21:18:00Z</dcterms:created>
  <dcterms:modified xsi:type="dcterms:W3CDTF">2018-10-08T09:40:00Z</dcterms:modified>
</cp:coreProperties>
</file>